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070707"/>
          <w:spacing w:val="0"/>
          <w:sz w:val="31"/>
          <w:szCs w:val="31"/>
          <w:bdr w:val="none" w:color="auto" w:sz="0" w:space="0"/>
        </w:rPr>
        <w:t>2023年国家技术创新示范企业拟认定企业名单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沈阳仪表科学研究院有限公司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中裕铁信交通科技股份有限公司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广东芬尼克兹节能设备有限公司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泰和新材集团股份有限公司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中铝郑州有色金属研究院有限公司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浙江伟星新型建材股份有限公司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洛阳轴承研究所有限公司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横店集团东磁股份有限公司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宁波永新光学股份有限公司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西安凯立新材料股份有限公司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方盛车桥（柳州）有限公司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重庆再升科技股份有限公司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云南贝泰妮生物科技集团股份有限公司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内蒙古蒙牛乳业（集团）股份有限公司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上海微创心脉医疗科技（集团）股份有限公司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界首市天鸿新材料股份有限公司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赛轮集团股份有限公司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四川汇宇制药股份有限公司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江西联创电子有限公司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郑州森鹏电子技术股份有限公司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湖南湘投金天科技集团有限责任公司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安徽皖维高新材料股份有限公司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湖北三江航天万峰科技发展有限公司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河南心连心化学工业集团股份有限公司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湖南松井新材料股份有限公司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中车山东机车车辆有限公司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山东福瑞达医药集团有限公司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河南光远新材料股份有限公司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武汉华工图像技术开发有限公司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马应龙药业集团股份有限公司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陕西天成航空材料有限公司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中国五环工程有限公司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天津久日新材料股份有限公司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重庆博腾制药科技股份有限公司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北自所（北京）科技发展股份有限公司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天津铁路信号有限责任公司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晶澳太阳能科技股份有限公司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东软医疗系统股份有限公司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湖北航鹏化学动力科技有限责任公司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OPPO广东移动通信有限公司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维沃移动通信有限公司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贵州安大航空锻造有限责任公司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海底鹰深海科技股份有限公司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陕西凌云电器集团有限公司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甘肃海林中科科技股份有限公司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中重科技（天津）股份有限公司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安徽安利材料科技股份有限公司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重庆红江机械有限责任公司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成都利君实业股份有限公司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新疆有色金属工业（集团）有限责任公司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经纬智能纺织机械有限公司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北方华创科技集团股份有限公司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华勤技术股份有限公司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苏州迈为科技股份有限公司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无锡先导智能装备股份有限公司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安徽金禾实业股份有限公司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福建恒杰塑业新材料有限公司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泰晶科技股份有限公司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江苏曙光光电有限公司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武汉达梦数据库股份有限公司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江苏扬农化工股份有限公司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招商局金陵船舶（南京）有限公司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长春生物制品研究所有限责任公司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中车太原机车车辆有限公司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南京钢铁股份有限公司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长春捷翼汽车科技股份有限公司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广西建工集团建筑机械制造有限责任公司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070707"/>
          <w:spacing w:val="0"/>
          <w:sz w:val="24"/>
          <w:szCs w:val="24"/>
          <w:bdr w:val="none" w:color="auto" w:sz="0" w:space="0"/>
        </w:rPr>
        <w:t>哈尔滨电机厂有限责任公司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F49071C"/>
    <w:rsid w:val="68B94DC6"/>
    <w:rsid w:val="6BE5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2024-01-03T02:13:44Z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D7BDBDB3678E46A5BA6B0DEE6529C146_12</vt:lpwstr>
  </property>
</Properties>
</file>